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8" w:rsidRPr="007D6FF8" w:rsidRDefault="007D6FF8" w:rsidP="007D6FF8">
      <w:pPr>
        <w:widowControl w:val="0"/>
        <w:adjustRightInd/>
        <w:snapToGrid/>
        <w:spacing w:after="0"/>
        <w:jc w:val="center"/>
        <w:rPr>
          <w:sz w:val="44"/>
          <w:szCs w:val="44"/>
        </w:rPr>
      </w:pPr>
      <w:r w:rsidRPr="007D6FF8">
        <w:rPr>
          <w:rFonts w:hint="eastAsia"/>
          <w:sz w:val="44"/>
          <w:szCs w:val="44"/>
        </w:rPr>
        <w:t>中国易学艺术研究院</w:t>
      </w:r>
    </w:p>
    <w:p w:rsidR="007D6FF8" w:rsidRPr="007D6FF8" w:rsidRDefault="007D6FF8" w:rsidP="007D6FF8">
      <w:pPr>
        <w:widowControl w:val="0"/>
        <w:adjustRightInd/>
        <w:snapToGrid/>
        <w:spacing w:after="0"/>
        <w:jc w:val="center"/>
        <w:rPr>
          <w:sz w:val="44"/>
          <w:szCs w:val="44"/>
        </w:rPr>
      </w:pPr>
      <w:r w:rsidRPr="007D6FF8">
        <w:rPr>
          <w:rFonts w:hint="eastAsia"/>
          <w:sz w:val="44"/>
          <w:szCs w:val="44"/>
        </w:rPr>
        <w:t>团体会员入会、管理办法</w:t>
      </w:r>
    </w:p>
    <w:p w:rsidR="007D6FF8" w:rsidRDefault="007D6FF8" w:rsidP="007D6FF8">
      <w:pPr>
        <w:widowControl w:val="0"/>
        <w:adjustRightInd/>
        <w:snapToGrid/>
        <w:spacing w:after="0"/>
        <w:jc w:val="both"/>
        <w:rPr>
          <w:sz w:val="28"/>
          <w:szCs w:val="28"/>
        </w:rPr>
      </w:pPr>
    </w:p>
    <w:p w:rsidR="007D6FF8" w:rsidRPr="000C787D" w:rsidRDefault="007D6FF8" w:rsidP="00AC331F">
      <w:pPr>
        <w:pStyle w:val="a5"/>
        <w:widowControl w:val="0"/>
        <w:numPr>
          <w:ilvl w:val="0"/>
          <w:numId w:val="5"/>
        </w:numPr>
        <w:adjustRightInd/>
        <w:snapToGrid/>
        <w:spacing w:before="100" w:beforeAutospacing="1" w:after="0"/>
        <w:ind w:leftChars="50" w:left="83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b/>
          <w:sz w:val="32"/>
          <w:szCs w:val="32"/>
        </w:rPr>
        <w:t>团体会员入会办法</w:t>
      </w:r>
      <w:r w:rsidRPr="000C787D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团体会员仅限于各省（直辖市、</w:t>
      </w:r>
      <w:r w:rsidRPr="000C787D">
        <w:rPr>
          <w:rFonts w:ascii="宋体" w:eastAsia="宋体" w:hAnsi="宋体" w:hint="eastAsia"/>
          <w:sz w:val="32"/>
          <w:szCs w:val="32"/>
        </w:rPr>
        <w:t>自治区）一个。特殊情况可在计划单列市设团体会员一个。其名称为：中国易学艺术研究院**分院。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设团体会员的地方应有一名及以上个体会员。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hint="eastAsia"/>
          <w:sz w:val="32"/>
          <w:szCs w:val="32"/>
        </w:rPr>
        <w:t>设分院前，应</w:t>
      </w:r>
      <w:r w:rsidRPr="000C787D">
        <w:rPr>
          <w:rFonts w:ascii="宋体" w:eastAsia="宋体" w:hAnsi="宋体" w:cs="Times New Roman" w:hint="eastAsia"/>
          <w:sz w:val="32"/>
          <w:szCs w:val="32"/>
        </w:rPr>
        <w:t>有办公及活动场所。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hint="eastAsia"/>
          <w:sz w:val="32"/>
          <w:szCs w:val="32"/>
        </w:rPr>
        <w:t>分院领导</w:t>
      </w:r>
      <w:r w:rsidRPr="000C787D">
        <w:rPr>
          <w:rFonts w:ascii="宋体" w:eastAsia="宋体" w:hAnsi="宋体" w:cs="Times New Roman" w:hint="eastAsia"/>
          <w:sz w:val="32"/>
          <w:szCs w:val="32"/>
        </w:rPr>
        <w:t>具有一定的组织管理能力。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hint="eastAsia"/>
          <w:sz w:val="32"/>
          <w:szCs w:val="32"/>
        </w:rPr>
        <w:t>自愿一次交纳会费</w:t>
      </w:r>
      <w:r w:rsidR="00AC331F">
        <w:rPr>
          <w:rFonts w:ascii="宋体" w:eastAsia="宋体" w:hAnsi="宋体" w:hint="eastAsia"/>
          <w:sz w:val="32"/>
          <w:szCs w:val="32"/>
        </w:rPr>
        <w:t>和每年缴纳管</w:t>
      </w:r>
      <w:r w:rsidR="00AC331F" w:rsidRPr="00AC331F">
        <w:rPr>
          <w:rFonts w:ascii="宋体" w:eastAsia="宋体" w:hAnsi="宋体" w:hint="eastAsia"/>
          <w:sz w:val="32"/>
          <w:szCs w:val="32"/>
        </w:rPr>
        <w:t>理费</w:t>
      </w:r>
      <w:r w:rsidRPr="000C787D">
        <w:rPr>
          <w:rFonts w:ascii="宋体" w:eastAsia="宋体" w:hAnsi="宋体" w:hint="eastAsia"/>
          <w:sz w:val="32"/>
          <w:szCs w:val="32"/>
        </w:rPr>
        <w:t>，自愿服从全国研究院的管理，愿意完成全国研究院</w:t>
      </w:r>
      <w:r w:rsidRPr="000C787D">
        <w:rPr>
          <w:rFonts w:ascii="宋体" w:eastAsia="宋体" w:hAnsi="宋体" w:cs="Times New Roman" w:hint="eastAsia"/>
          <w:sz w:val="32"/>
          <w:szCs w:val="32"/>
        </w:rPr>
        <w:t>安排的工作。</w:t>
      </w:r>
    </w:p>
    <w:p w:rsidR="006E785A" w:rsidRPr="000C787D" w:rsidRDefault="006E785A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/>
          <w:sz w:val="32"/>
          <w:szCs w:val="32"/>
        </w:rPr>
      </w:pPr>
      <w:r w:rsidRPr="000C787D">
        <w:rPr>
          <w:rFonts w:ascii="宋体" w:eastAsia="宋体" w:hAnsi="宋体" w:hint="eastAsia"/>
          <w:sz w:val="32"/>
          <w:szCs w:val="32"/>
        </w:rPr>
        <w:t>发起人应确定分院的管理模式，确定与当地中国一带一路网办事处的关系，完成管理办法等制度，并向总院提出申请。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2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由</w:t>
      </w:r>
      <w:r w:rsidR="006E785A" w:rsidRPr="000C787D">
        <w:rPr>
          <w:rFonts w:ascii="宋体" w:eastAsia="宋体" w:hAnsi="宋体" w:hint="eastAsia"/>
          <w:sz w:val="32"/>
          <w:szCs w:val="32"/>
        </w:rPr>
        <w:t>全国研究院</w:t>
      </w:r>
      <w:r w:rsidRPr="000C787D">
        <w:rPr>
          <w:rFonts w:ascii="宋体" w:eastAsia="宋体" w:hAnsi="宋体" w:cs="Times New Roman" w:hint="eastAsia"/>
          <w:sz w:val="32"/>
          <w:szCs w:val="32"/>
        </w:rPr>
        <w:t>组织专</w:t>
      </w:r>
      <w:r w:rsidR="006E785A" w:rsidRPr="000C787D">
        <w:rPr>
          <w:rFonts w:ascii="宋体" w:eastAsia="宋体" w:hAnsi="宋体" w:hint="eastAsia"/>
          <w:sz w:val="32"/>
          <w:szCs w:val="32"/>
        </w:rPr>
        <w:t>家</w:t>
      </w:r>
      <w:r w:rsidRPr="000C787D">
        <w:rPr>
          <w:rFonts w:ascii="宋体" w:eastAsia="宋体" w:hAnsi="宋体" w:cs="Times New Roman" w:hint="eastAsia"/>
          <w:sz w:val="32"/>
          <w:szCs w:val="32"/>
        </w:rPr>
        <w:t>组审定</w:t>
      </w:r>
      <w:r w:rsidR="006E785A" w:rsidRPr="000C787D">
        <w:rPr>
          <w:rFonts w:ascii="宋体" w:eastAsia="宋体" w:hAnsi="宋体" w:hint="eastAsia"/>
          <w:sz w:val="32"/>
          <w:szCs w:val="32"/>
        </w:rPr>
        <w:t>，经总院领导研究同意</w:t>
      </w:r>
      <w:r w:rsidRPr="000C787D">
        <w:rPr>
          <w:rFonts w:ascii="宋体" w:eastAsia="宋体" w:hAnsi="宋体" w:cs="Times New Roman" w:hint="eastAsia"/>
          <w:sz w:val="32"/>
          <w:szCs w:val="32"/>
        </w:rPr>
        <w:t>后</w:t>
      </w:r>
      <w:r w:rsidR="006E785A" w:rsidRPr="000C787D">
        <w:rPr>
          <w:rFonts w:ascii="宋体" w:eastAsia="宋体" w:hAnsi="宋体" w:hint="eastAsia"/>
          <w:sz w:val="32"/>
          <w:szCs w:val="32"/>
        </w:rPr>
        <w:t>发文</w:t>
      </w:r>
      <w:r w:rsidRPr="000C787D">
        <w:rPr>
          <w:rFonts w:ascii="宋体" w:eastAsia="宋体" w:hAnsi="宋体" w:cs="Times New Roman" w:hint="eastAsia"/>
          <w:sz w:val="32"/>
          <w:szCs w:val="32"/>
        </w:rPr>
        <w:t>授牌。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5"/>
        </w:numPr>
        <w:adjustRightInd/>
        <w:snapToGrid/>
        <w:spacing w:before="100" w:beforeAutospacing="1" w:after="0"/>
        <w:ind w:leftChars="50" w:left="83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b/>
          <w:sz w:val="32"/>
          <w:szCs w:val="32"/>
        </w:rPr>
        <w:t>团体会员管理办法</w:t>
      </w:r>
      <w:r w:rsidRPr="000C787D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D6FF8" w:rsidRPr="000C787D" w:rsidRDefault="00612891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省级研究院每年举办培训会、研讨会、沙龙等活动六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次以上。</w:t>
      </w:r>
    </w:p>
    <w:p w:rsidR="007D6FF8" w:rsidRPr="000C787D" w:rsidRDefault="00612891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省级研究院内部组织机构健全，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各种管理制度健全。</w:t>
      </w:r>
    </w:p>
    <w:p w:rsidR="007D6FF8" w:rsidRPr="000C787D" w:rsidRDefault="00612891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具备条件的省级分院可在本地组织招生培训，按我院课程计划组织教学。由我院组织专家授课，分院负责管理。学员学完后，专业知识和论文都合格者，由</w:t>
      </w:r>
      <w:r w:rsidR="0015608A" w:rsidRPr="000C787D">
        <w:rPr>
          <w:rFonts w:ascii="宋体" w:eastAsia="宋体" w:hAnsi="宋体" w:cs="Times New Roman" w:hint="eastAsia"/>
          <w:sz w:val="32"/>
          <w:szCs w:val="32"/>
        </w:rPr>
        <w:t>本院颁发同等的证书。</w:t>
      </w:r>
    </w:p>
    <w:p w:rsidR="007D6FF8" w:rsidRPr="000C787D" w:rsidRDefault="007D6FF8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团体会员组织者可以提</w:t>
      </w:r>
      <w:r w:rsidR="00AC331F" w:rsidRPr="00AC331F">
        <w:rPr>
          <w:rFonts w:ascii="宋体" w:eastAsia="宋体" w:hAnsi="宋体" w:cs="Times New Roman" w:hint="eastAsia"/>
          <w:sz w:val="32"/>
          <w:szCs w:val="32"/>
        </w:rPr>
        <w:t>出</w:t>
      </w:r>
      <w:r w:rsidRPr="000C787D">
        <w:rPr>
          <w:rFonts w:ascii="宋体" w:eastAsia="宋体" w:hAnsi="宋体" w:cs="Times New Roman" w:hint="eastAsia"/>
          <w:sz w:val="32"/>
          <w:szCs w:val="32"/>
        </w:rPr>
        <w:t>申请，经本会同意，可以</w:t>
      </w:r>
      <w:r w:rsidR="0015608A" w:rsidRPr="000C787D">
        <w:rPr>
          <w:rFonts w:ascii="宋体" w:eastAsia="宋体" w:hAnsi="宋体" w:cs="Times New Roman" w:hint="eastAsia"/>
          <w:sz w:val="32"/>
          <w:szCs w:val="32"/>
        </w:rPr>
        <w:t>退出本会。退会时不退还一次缴纳的会费</w:t>
      </w:r>
      <w:r w:rsidR="00AC331F">
        <w:rPr>
          <w:rFonts w:ascii="宋体" w:eastAsia="宋体" w:hAnsi="宋体" w:cs="Times New Roman" w:hint="eastAsia"/>
          <w:sz w:val="32"/>
          <w:szCs w:val="32"/>
        </w:rPr>
        <w:t>和每年</w:t>
      </w:r>
      <w:r w:rsidR="00AC331F" w:rsidRPr="00AC331F">
        <w:rPr>
          <w:rFonts w:ascii="宋体" w:eastAsia="宋体" w:hAnsi="宋体" w:cs="Times New Roman" w:hint="eastAsia"/>
          <w:sz w:val="32"/>
          <w:szCs w:val="32"/>
        </w:rPr>
        <w:t>缴纳的管理费</w:t>
      </w:r>
      <w:r w:rsidR="0015608A" w:rsidRPr="000C787D">
        <w:rPr>
          <w:rFonts w:ascii="宋体" w:eastAsia="宋体" w:hAnsi="宋体" w:cs="Times New Roman" w:hint="eastAsia"/>
          <w:sz w:val="32"/>
          <w:szCs w:val="32"/>
        </w:rPr>
        <w:t>，同时收回授牌</w:t>
      </w:r>
      <w:r w:rsidRPr="000C787D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7D6FF8" w:rsidRPr="000C787D" w:rsidRDefault="0015608A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团体会员不遵守国家法律法规、搞封建迷信活动，借</w:t>
      </w:r>
      <w:r w:rsidRPr="000C787D">
        <w:rPr>
          <w:rFonts w:ascii="宋体" w:eastAsia="宋体" w:hAnsi="宋体" w:cs="Times New Roman" w:hint="eastAsia"/>
          <w:sz w:val="32"/>
          <w:szCs w:val="32"/>
        </w:rPr>
        <w:lastRenderedPageBreak/>
        <w:t>机骗钱骗财等，全国研究院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将取消其授牌</w:t>
      </w:r>
      <w:r w:rsidR="001E1D94">
        <w:rPr>
          <w:rFonts w:ascii="宋体" w:eastAsia="宋体" w:hAnsi="宋体" w:cs="Times New Roman" w:hint="eastAsia"/>
          <w:sz w:val="32"/>
          <w:szCs w:val="32"/>
        </w:rPr>
        <w:t>，并通过本院官网等煤体通报全国</w:t>
      </w:r>
      <w:r w:rsidR="001E1D94" w:rsidRPr="001E1D94">
        <w:rPr>
          <w:rFonts w:ascii="宋体" w:eastAsia="宋体" w:hAnsi="宋体" w:cs="Times New Roman" w:hint="eastAsia"/>
          <w:sz w:val="32"/>
          <w:szCs w:val="32"/>
        </w:rPr>
        <w:t>，</w:t>
      </w:r>
      <w:r w:rsidR="001E1D94">
        <w:rPr>
          <w:rFonts w:ascii="宋体" w:eastAsia="宋体" w:hAnsi="宋体" w:cs="Times New Roman" w:hint="eastAsia"/>
          <w:sz w:val="32"/>
          <w:szCs w:val="32"/>
        </w:rPr>
        <w:t>不退回相关费</w:t>
      </w:r>
      <w:r w:rsidR="001E1D94" w:rsidRPr="001E1D94">
        <w:rPr>
          <w:rFonts w:ascii="宋体" w:eastAsia="宋体" w:hAnsi="宋体" w:cs="Times New Roman" w:hint="eastAsia"/>
          <w:sz w:val="32"/>
          <w:szCs w:val="32"/>
        </w:rPr>
        <w:t>收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7D6FF8" w:rsidRPr="000C787D" w:rsidRDefault="0015608A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团体会员不服从全国研究院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管理</w:t>
      </w:r>
      <w:r w:rsidRPr="000C787D">
        <w:rPr>
          <w:rFonts w:ascii="宋体" w:eastAsia="宋体" w:hAnsi="宋体" w:cs="Times New Roman" w:hint="eastAsia"/>
          <w:sz w:val="32"/>
          <w:szCs w:val="32"/>
        </w:rPr>
        <w:t>，</w:t>
      </w:r>
      <w:r w:rsidR="001E1D94" w:rsidRPr="001E1D94">
        <w:rPr>
          <w:rFonts w:ascii="宋体" w:eastAsia="宋体" w:hAnsi="宋体" w:cs="Times New Roman" w:hint="eastAsia"/>
          <w:sz w:val="32"/>
          <w:szCs w:val="32"/>
        </w:rPr>
        <w:t>两次及</w:t>
      </w:r>
      <w:r w:rsidRPr="000C787D">
        <w:rPr>
          <w:rFonts w:ascii="宋体" w:eastAsia="宋体" w:hAnsi="宋体" w:cs="Times New Roman" w:hint="eastAsia"/>
          <w:sz w:val="32"/>
          <w:szCs w:val="32"/>
        </w:rPr>
        <w:t>不能按时完成相关工作，其领导集体连续两次不参加全国会议和连续两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次及以</w:t>
      </w:r>
      <w:r w:rsidR="001E1D94">
        <w:rPr>
          <w:rFonts w:ascii="宋体" w:eastAsia="宋体" w:hAnsi="宋体" w:cs="Times New Roman" w:hint="eastAsia"/>
          <w:sz w:val="32"/>
          <w:szCs w:val="32"/>
        </w:rPr>
        <w:t>上不参加全国研讨活动，视</w:t>
      </w:r>
      <w:r w:rsidR="001E1D94" w:rsidRPr="001E1D94">
        <w:rPr>
          <w:rFonts w:ascii="宋体" w:eastAsia="宋体" w:hAnsi="宋体" w:cs="Times New Roman" w:hint="eastAsia"/>
          <w:sz w:val="32"/>
          <w:szCs w:val="32"/>
        </w:rPr>
        <w:t>为</w:t>
      </w:r>
      <w:r w:rsidRPr="000C787D">
        <w:rPr>
          <w:rFonts w:ascii="宋体" w:eastAsia="宋体" w:hAnsi="宋体" w:cs="Times New Roman" w:hint="eastAsia"/>
          <w:sz w:val="32"/>
          <w:szCs w:val="32"/>
        </w:rPr>
        <w:t>自愿退出</w:t>
      </w:r>
      <w:r w:rsidR="007D6FF8" w:rsidRPr="000C787D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15608A" w:rsidRPr="000C787D" w:rsidRDefault="0015608A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凡自愿退出本会或被取消授牌的，由全国研究院在其官网和相应媒体通报全国。</w:t>
      </w:r>
    </w:p>
    <w:p w:rsidR="0015608A" w:rsidRPr="000C787D" w:rsidRDefault="0015608A" w:rsidP="00AC331F">
      <w:pPr>
        <w:pStyle w:val="a5"/>
        <w:widowControl w:val="0"/>
        <w:numPr>
          <w:ilvl w:val="0"/>
          <w:numId w:val="4"/>
        </w:numPr>
        <w:adjustRightInd/>
        <w:snapToGrid/>
        <w:spacing w:before="100" w:beforeAutospacing="1" w:after="0"/>
        <w:ind w:leftChars="50" w:left="110" w:rightChars="-150" w:right="-330" w:firstLineChars="0"/>
        <w:jc w:val="both"/>
        <w:rPr>
          <w:rFonts w:ascii="宋体" w:eastAsia="宋体" w:hAnsi="宋体" w:cs="Times New Roman"/>
          <w:sz w:val="32"/>
          <w:szCs w:val="32"/>
        </w:rPr>
      </w:pPr>
      <w:r w:rsidRPr="000C787D">
        <w:rPr>
          <w:rFonts w:ascii="宋体" w:eastAsia="宋体" w:hAnsi="宋体" w:cs="Times New Roman" w:hint="eastAsia"/>
          <w:sz w:val="32"/>
          <w:szCs w:val="32"/>
        </w:rPr>
        <w:t>退出</w:t>
      </w:r>
      <w:r w:rsidR="001E1D94" w:rsidRPr="001E1D94">
        <w:rPr>
          <w:rFonts w:ascii="宋体" w:eastAsia="宋体" w:hAnsi="宋体" w:cs="Times New Roman" w:hint="eastAsia"/>
          <w:sz w:val="32"/>
          <w:szCs w:val="32"/>
        </w:rPr>
        <w:t>本会</w:t>
      </w:r>
      <w:r w:rsidRPr="000C787D">
        <w:rPr>
          <w:rFonts w:ascii="宋体" w:eastAsia="宋体" w:hAnsi="宋体" w:cs="Times New Roman" w:hint="eastAsia"/>
          <w:sz w:val="32"/>
          <w:szCs w:val="32"/>
        </w:rPr>
        <w:t>或取消授牌后，不得以原有名义继续开</w:t>
      </w:r>
      <w:r w:rsidR="000814EA" w:rsidRPr="000C787D">
        <w:rPr>
          <w:rFonts w:ascii="宋体" w:eastAsia="宋体" w:hAnsi="宋体" w:cs="Times New Roman" w:hint="eastAsia"/>
          <w:sz w:val="32"/>
          <w:szCs w:val="32"/>
        </w:rPr>
        <w:t>展相应的工作和活动，否则全国研究院将追究相关人员法律和经济责任。</w:t>
      </w:r>
    </w:p>
    <w:p w:rsidR="004358AB" w:rsidRPr="007D6FF8" w:rsidRDefault="004358AB" w:rsidP="00AC331F">
      <w:pPr>
        <w:spacing w:before="100" w:beforeAutospacing="1" w:after="0" w:line="220" w:lineRule="atLeast"/>
        <w:ind w:leftChars="50" w:left="110" w:rightChars="-150" w:right="-330"/>
        <w:rPr>
          <w:rFonts w:ascii="宋体" w:eastAsia="宋体" w:hAnsi="宋体"/>
          <w:sz w:val="32"/>
          <w:szCs w:val="32"/>
        </w:rPr>
      </w:pPr>
    </w:p>
    <w:sectPr w:rsidR="004358AB" w:rsidRPr="007D6F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13" w:rsidRDefault="00A35E13" w:rsidP="007D6FF8">
      <w:pPr>
        <w:spacing w:after="0"/>
      </w:pPr>
      <w:r>
        <w:separator/>
      </w:r>
    </w:p>
  </w:endnote>
  <w:endnote w:type="continuationSeparator" w:id="0">
    <w:p w:rsidR="00A35E13" w:rsidRDefault="00A35E13" w:rsidP="007D6F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13" w:rsidRDefault="00A35E13" w:rsidP="007D6FF8">
      <w:pPr>
        <w:spacing w:after="0"/>
      </w:pPr>
      <w:r>
        <w:separator/>
      </w:r>
    </w:p>
  </w:footnote>
  <w:footnote w:type="continuationSeparator" w:id="0">
    <w:p w:rsidR="00A35E13" w:rsidRDefault="00A35E13" w:rsidP="007D6F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CD8"/>
    <w:multiLevelType w:val="hybridMultilevel"/>
    <w:tmpl w:val="BA7478E4"/>
    <w:lvl w:ilvl="0" w:tplc="201AC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3" w:hanging="420"/>
      </w:pPr>
    </w:lvl>
    <w:lvl w:ilvl="2" w:tplc="0409001B" w:tentative="1">
      <w:start w:val="1"/>
      <w:numFmt w:val="lowerRoman"/>
      <w:lvlText w:val="%3."/>
      <w:lvlJc w:val="righ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9" w:tentative="1">
      <w:start w:val="1"/>
      <w:numFmt w:val="lowerLetter"/>
      <w:lvlText w:val="%5)"/>
      <w:lvlJc w:val="left"/>
      <w:pPr>
        <w:ind w:left="3943" w:hanging="420"/>
      </w:pPr>
    </w:lvl>
    <w:lvl w:ilvl="5" w:tplc="0409001B" w:tentative="1">
      <w:start w:val="1"/>
      <w:numFmt w:val="lowerRoman"/>
      <w:lvlText w:val="%6."/>
      <w:lvlJc w:val="righ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9" w:tentative="1">
      <w:start w:val="1"/>
      <w:numFmt w:val="lowerLetter"/>
      <w:lvlText w:val="%8)"/>
      <w:lvlJc w:val="left"/>
      <w:pPr>
        <w:ind w:left="5203" w:hanging="420"/>
      </w:pPr>
    </w:lvl>
    <w:lvl w:ilvl="8" w:tplc="0409001B" w:tentative="1">
      <w:start w:val="1"/>
      <w:numFmt w:val="lowerRoman"/>
      <w:lvlText w:val="%9."/>
      <w:lvlJc w:val="right"/>
      <w:pPr>
        <w:ind w:left="5623" w:hanging="420"/>
      </w:pPr>
    </w:lvl>
  </w:abstractNum>
  <w:abstractNum w:abstractNumId="1">
    <w:nsid w:val="58513AA7"/>
    <w:multiLevelType w:val="singleLevel"/>
    <w:tmpl w:val="58513AA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513B3D"/>
    <w:multiLevelType w:val="singleLevel"/>
    <w:tmpl w:val="B59A6FD6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3">
    <w:nsid w:val="58513C1F"/>
    <w:multiLevelType w:val="singleLevel"/>
    <w:tmpl w:val="58513C1F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513C6C"/>
    <w:multiLevelType w:val="singleLevel"/>
    <w:tmpl w:val="ECAAF374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3B1"/>
    <w:rsid w:val="000509A7"/>
    <w:rsid w:val="000814EA"/>
    <w:rsid w:val="000C787D"/>
    <w:rsid w:val="0015608A"/>
    <w:rsid w:val="001E1D94"/>
    <w:rsid w:val="002737D2"/>
    <w:rsid w:val="00323B43"/>
    <w:rsid w:val="003D37D8"/>
    <w:rsid w:val="00426133"/>
    <w:rsid w:val="004358AB"/>
    <w:rsid w:val="00612891"/>
    <w:rsid w:val="006E785A"/>
    <w:rsid w:val="007D6FF8"/>
    <w:rsid w:val="008B7726"/>
    <w:rsid w:val="009E0E18"/>
    <w:rsid w:val="00A31028"/>
    <w:rsid w:val="00A35E13"/>
    <w:rsid w:val="00AC331F"/>
    <w:rsid w:val="00C96B01"/>
    <w:rsid w:val="00D31D50"/>
    <w:rsid w:val="00F55A8C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F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F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F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FF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C78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2017-05-06T07:57:00Z</dcterms:modified>
</cp:coreProperties>
</file>